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92931" w14:textId="77777777" w:rsidR="00AF4274" w:rsidRPr="00AF4274" w:rsidRDefault="00AF4274" w:rsidP="00AF427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</w:pPr>
      <w:r w:rsidRPr="00AF4274">
        <w:rPr>
          <w:rFonts w:ascii="Trebuchet MS" w:eastAsia="Times New Roman" w:hAnsi="Trebuchet MS" w:cs="Times New Roman"/>
          <w:b/>
          <w:bCs/>
          <w:color w:val="444444"/>
          <w:sz w:val="18"/>
          <w:szCs w:val="18"/>
          <w:lang w:eastAsia="it-IT"/>
        </w:rPr>
        <w:t xml:space="preserve">Art. </w:t>
      </w:r>
      <w:proofErr w:type="gramStart"/>
      <w:r w:rsidRPr="00AF4274">
        <w:rPr>
          <w:rFonts w:ascii="Trebuchet MS" w:eastAsia="Times New Roman" w:hAnsi="Trebuchet MS" w:cs="Times New Roman"/>
          <w:b/>
          <w:bCs/>
          <w:color w:val="444444"/>
          <w:sz w:val="18"/>
          <w:szCs w:val="18"/>
          <w:lang w:eastAsia="it-IT"/>
        </w:rPr>
        <w:t>6.</w:t>
      </w:r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(</w:t>
      </w:r>
      <w:proofErr w:type="gramEnd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Cremazione, conservazione, affidamento e dispersione delle ceneri)</w:t>
      </w:r>
    </w:p>
    <w:p w14:paraId="46DE27E0" w14:textId="77777777" w:rsidR="00AF4274" w:rsidRPr="00AF4274" w:rsidRDefault="00AF4274" w:rsidP="00AF427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</w:pPr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[..]</w:t>
      </w:r>
    </w:p>
    <w:p w14:paraId="53AC8594" w14:textId="77777777" w:rsidR="00AF4274" w:rsidRPr="00AF4274" w:rsidRDefault="00AF4274" w:rsidP="00AF427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</w:pPr>
      <w:r w:rsidRPr="00AF4274">
        <w:rPr>
          <w:rFonts w:ascii="Trebuchet MS" w:eastAsia="Times New Roman" w:hAnsi="Trebuchet MS" w:cs="Times New Roman"/>
          <w:b/>
          <w:bCs/>
          <w:color w:val="444444"/>
          <w:sz w:val="18"/>
          <w:szCs w:val="18"/>
          <w:lang w:eastAsia="it-IT"/>
        </w:rPr>
        <w:t>4</w:t>
      </w:r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 xml:space="preserve">. I comuni e le loro forme associative disciplinano le strutture per il commiato ai </w:t>
      </w:r>
      <w:proofErr w:type="spellStart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senzi</w:t>
      </w:r>
      <w:proofErr w:type="spellEnd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 xml:space="preserve"> dell'articolo 8.</w:t>
      </w:r>
    </w:p>
    <w:p w14:paraId="1C8D6A5D" w14:textId="77777777" w:rsidR="00AF4274" w:rsidRPr="00AF4274" w:rsidRDefault="00AF4274" w:rsidP="00AF427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</w:pPr>
      <w:r w:rsidRPr="00AF4274"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  <w:t> </w:t>
      </w:r>
    </w:p>
    <w:p w14:paraId="78364554" w14:textId="77777777" w:rsidR="00AF4274" w:rsidRPr="00AF4274" w:rsidRDefault="00AF4274" w:rsidP="00AF427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</w:pPr>
      <w:r w:rsidRPr="00AF4274">
        <w:rPr>
          <w:rFonts w:ascii="Trebuchet MS" w:eastAsia="Times New Roman" w:hAnsi="Trebuchet MS" w:cs="Times New Roman"/>
          <w:b/>
          <w:bCs/>
          <w:color w:val="444444"/>
          <w:sz w:val="18"/>
          <w:szCs w:val="18"/>
          <w:lang w:eastAsia="it-IT"/>
        </w:rPr>
        <w:t>Art. 8. </w:t>
      </w:r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(Strutture per il commiato)</w:t>
      </w:r>
    </w:p>
    <w:p w14:paraId="550E95A9" w14:textId="77777777" w:rsidR="00AF4274" w:rsidRPr="00AF4274" w:rsidRDefault="00AF4274" w:rsidP="00AF427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</w:pPr>
      <w:r w:rsidRPr="00AF4274">
        <w:rPr>
          <w:rFonts w:ascii="Trebuchet MS" w:eastAsia="Times New Roman" w:hAnsi="Trebuchet MS" w:cs="Times New Roman"/>
          <w:b/>
          <w:bCs/>
          <w:color w:val="444444"/>
          <w:sz w:val="18"/>
          <w:szCs w:val="18"/>
          <w:lang w:eastAsia="it-IT"/>
        </w:rPr>
        <w:t>1</w:t>
      </w:r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. I comuni e le loro forme associative promuovono la realizzazione di strutture nell'ambito delle quali, su istanza del familiare defunto, possono tenersi cerimonie per il commiato.</w:t>
      </w:r>
    </w:p>
    <w:p w14:paraId="2B904ED6" w14:textId="77777777" w:rsidR="00AF4274" w:rsidRPr="00AF4274" w:rsidRDefault="00AF4274" w:rsidP="00AF427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</w:pPr>
      <w:r w:rsidRPr="00AF4274">
        <w:rPr>
          <w:rFonts w:ascii="Trebuchet MS" w:eastAsia="Times New Roman" w:hAnsi="Trebuchet MS" w:cs="Times New Roman"/>
          <w:b/>
          <w:bCs/>
          <w:color w:val="444444"/>
          <w:sz w:val="18"/>
          <w:szCs w:val="18"/>
          <w:lang w:eastAsia="it-IT"/>
        </w:rPr>
        <w:t>2</w:t>
      </w:r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. Tali strutture, che devono consentire l'accoglienza di persone e lo svolgimento dell'orazione funebre, nel rispetto della volontà del defunto e dei suoi familiari, possono essere utilizzate anche per l'esposizione e la veglia dei cadaveri.</w:t>
      </w:r>
    </w:p>
    <w:p w14:paraId="5A2D246F" w14:textId="77777777" w:rsidR="00AF4274" w:rsidRPr="00AF4274" w:rsidRDefault="00AF4274" w:rsidP="00AF427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</w:pPr>
      <w:r w:rsidRPr="00AF4274">
        <w:rPr>
          <w:rFonts w:ascii="Trebuchet MS" w:eastAsia="Times New Roman" w:hAnsi="Trebuchet MS" w:cs="Times New Roman"/>
          <w:b/>
          <w:bCs/>
          <w:color w:val="444444"/>
          <w:sz w:val="18"/>
          <w:szCs w:val="18"/>
          <w:lang w:eastAsia="it-IT"/>
        </w:rPr>
        <w:t>3</w:t>
      </w:r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 xml:space="preserve">. Le strutture per il commiato, realizzate da soggetti pubblici o privati autorizzati all'esercizio dell'attività funebre, sono in ogni caso fruibili da chiunque ne faccia richiesta, senza discriminazioni di alcun tipo in ordine all'accesso, fermo restando l'obbligo previsto dalla normativa statale e regionale in capo alle strutture pubbliche e private che sono tenute a garantire il servizio di camera </w:t>
      </w:r>
      <w:proofErr w:type="spellStart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morturaria</w:t>
      </w:r>
      <w:proofErr w:type="spellEnd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 xml:space="preserve"> al soggetto deceduto presso le medesime strutture, nel caso in cui i familiari non optino per la struttura del commiato.</w:t>
      </w:r>
    </w:p>
    <w:p w14:paraId="10DB951D" w14:textId="77777777" w:rsidR="00AF4274" w:rsidRPr="00AF4274" w:rsidRDefault="00AF4274" w:rsidP="00AF427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</w:pPr>
      <w:r w:rsidRPr="00AF4274">
        <w:rPr>
          <w:rFonts w:ascii="Trebuchet MS" w:eastAsia="Times New Roman" w:hAnsi="Trebuchet MS" w:cs="Times New Roman"/>
          <w:b/>
          <w:bCs/>
          <w:color w:val="444444"/>
          <w:sz w:val="18"/>
          <w:szCs w:val="18"/>
          <w:lang w:eastAsia="it-IT"/>
        </w:rPr>
        <w:t>4</w:t>
      </w:r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 xml:space="preserve">. Nell'esercizio delle attività di cui al comma 2, le strutture devono essere in possesso di caratteristiche </w:t>
      </w:r>
      <w:proofErr w:type="spellStart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igenico-sanitarie</w:t>
      </w:r>
      <w:proofErr w:type="spellEnd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 xml:space="preserve"> previste per le camere mortuarie dalla normativa statale e regionale in materia, che si applica anche in relazione alle pratiche di rilevazione delle manifestazioni di vita.</w:t>
      </w:r>
    </w:p>
    <w:p w14:paraId="52F42465" w14:textId="77777777" w:rsidR="00AF4274" w:rsidRPr="00AF4274" w:rsidRDefault="00AF4274" w:rsidP="00AF427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444444"/>
          <w:sz w:val="24"/>
          <w:szCs w:val="24"/>
          <w:lang w:eastAsia="it-IT"/>
        </w:rPr>
      </w:pPr>
      <w:r w:rsidRPr="00AF4274">
        <w:rPr>
          <w:rFonts w:ascii="Trebuchet MS" w:eastAsia="Times New Roman" w:hAnsi="Trebuchet MS" w:cs="Times New Roman"/>
          <w:b/>
          <w:bCs/>
          <w:color w:val="444444"/>
          <w:sz w:val="18"/>
          <w:szCs w:val="18"/>
          <w:lang w:eastAsia="it-IT"/>
        </w:rPr>
        <w:t>4 bis</w:t>
      </w:r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 xml:space="preserve">. Le strutture per il commiato non possono essere collocate nell'ambito di strutture </w:t>
      </w:r>
      <w:proofErr w:type="spellStart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obitoriali</w:t>
      </w:r>
      <w:proofErr w:type="spellEnd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 xml:space="preserve">, di strutture sanitarie pubbliche o private o nelle loro immediate vicinanze, </w:t>
      </w:r>
      <w:proofErr w:type="spellStart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>nè</w:t>
      </w:r>
      <w:proofErr w:type="spellEnd"/>
      <w:r w:rsidRPr="00AF4274">
        <w:rPr>
          <w:rFonts w:ascii="Trebuchet MS" w:eastAsia="Times New Roman" w:hAnsi="Trebuchet MS" w:cs="Times New Roman"/>
          <w:color w:val="444444"/>
          <w:sz w:val="18"/>
          <w:szCs w:val="18"/>
          <w:lang w:eastAsia="it-IT"/>
        </w:rPr>
        <w:t xml:space="preserve"> di strutture socio-sanitarie o socio-assistenziali. I comuni stabiliscono l'ubicazione delle strutture per il commiato.</w:t>
      </w:r>
    </w:p>
    <w:p w14:paraId="4A5284E3" w14:textId="77777777" w:rsidR="00A220E9" w:rsidRDefault="00A220E9"/>
    <w:sectPr w:rsidR="00A220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2C3"/>
    <w:rsid w:val="000B746C"/>
    <w:rsid w:val="00A220E9"/>
    <w:rsid w:val="00AF4274"/>
    <w:rsid w:val="00C032C3"/>
    <w:rsid w:val="00F1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071B8-888A-4D46-AC4F-F89BF8FD2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AF42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0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anagrafe3</dc:creator>
  <cp:keywords/>
  <dc:description/>
  <cp:lastModifiedBy>anagrafe3</cp:lastModifiedBy>
  <cp:revision>2</cp:revision>
  <dcterms:created xsi:type="dcterms:W3CDTF">2026-06-15T15:37:00Z</dcterms:created>
  <dcterms:modified xsi:type="dcterms:W3CDTF">2026-06-15T15:37:00Z</dcterms:modified>
</cp:coreProperties>
</file>